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A3" w:rsidRDefault="00DF68A3" w:rsidP="00DF68A3">
      <w:pPr>
        <w:pStyle w:val="a5"/>
        <w:shd w:val="clear" w:color="auto" w:fill="FFFFFF"/>
        <w:spacing w:before="0" w:beforeAutospacing="0" w:after="0" w:afterAutospacing="0" w:line="560" w:lineRule="exact"/>
        <w:jc w:val="center"/>
        <w:outlineLvl w:val="2"/>
        <w:rPr>
          <w:rFonts w:ascii="方正小标宋简体" w:eastAsia="方正小标宋简体" w:hint="eastAsia"/>
          <w:b/>
          <w:bCs/>
          <w:sz w:val="44"/>
          <w:szCs w:val="44"/>
        </w:rPr>
      </w:pPr>
    </w:p>
    <w:p w:rsidR="00DF68A3" w:rsidRDefault="00DF68A3" w:rsidP="00DF68A3">
      <w:pPr>
        <w:pStyle w:val="a5"/>
        <w:shd w:val="clear" w:color="auto" w:fill="FFFFFF"/>
        <w:spacing w:before="0" w:beforeAutospacing="0" w:after="0" w:afterAutospacing="0" w:line="560" w:lineRule="exact"/>
        <w:jc w:val="center"/>
        <w:outlineLvl w:val="2"/>
        <w:rPr>
          <w:rFonts w:ascii="方正小标宋简体" w:eastAsia="方正小标宋简体" w:hint="eastAsia"/>
          <w:b/>
          <w:bCs/>
          <w:sz w:val="44"/>
          <w:szCs w:val="44"/>
        </w:rPr>
      </w:pPr>
      <w:r w:rsidRPr="00DF68A3">
        <w:rPr>
          <w:rFonts w:ascii="方正小标宋简体" w:eastAsia="方正小标宋简体" w:hint="eastAsia"/>
          <w:b/>
          <w:bCs/>
          <w:sz w:val="44"/>
          <w:szCs w:val="44"/>
        </w:rPr>
        <w:t>中共中央办公厅印发 《党组讨论和决定党员处分事项工作程序规定（试行）》</w:t>
      </w:r>
    </w:p>
    <w:p w:rsidR="00DF68A3" w:rsidRDefault="00DF68A3" w:rsidP="00DF68A3">
      <w:pPr>
        <w:pStyle w:val="a5"/>
        <w:shd w:val="clear" w:color="auto" w:fill="FFFFFF"/>
        <w:spacing w:before="0" w:beforeAutospacing="0" w:after="0" w:afterAutospacing="0" w:line="560" w:lineRule="exact"/>
        <w:jc w:val="center"/>
        <w:outlineLvl w:val="2"/>
        <w:rPr>
          <w:rFonts w:ascii="方正小标宋简体" w:eastAsia="方正小标宋简体" w:hint="eastAsia"/>
          <w:b/>
          <w:bCs/>
          <w:sz w:val="44"/>
          <w:szCs w:val="44"/>
        </w:rPr>
      </w:pPr>
      <w:bookmarkStart w:id="0" w:name="_GoBack"/>
      <w:bookmarkEnd w:id="0"/>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Pr>
          <w:rFonts w:hint="eastAsia"/>
          <w:color w:val="000000"/>
        </w:rPr>
        <w:t xml:space="preserve">　</w:t>
      </w:r>
      <w:r w:rsidRPr="00DF68A3">
        <w:rPr>
          <w:rFonts w:ascii="仿宋_GB2312" w:eastAsia="仿宋_GB2312" w:hint="eastAsia"/>
          <w:color w:val="000000"/>
          <w:sz w:val="32"/>
          <w:szCs w:val="32"/>
        </w:rPr>
        <w:t xml:space="preserve">　近日，中共中央办公厅印发了《党组讨论和决定党员处分事项工作程序规定（试行）》，并发出通知，要求各地区各部门认真遵照执行。</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《党组讨论和决定党员处分事项工作程序规定（试行）》主要内容如下。</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第一条　为了贯彻落实党的十九大精神，规范党组讨论和决定党员处分事项，根据《中国共产党章程》等有关规定，结合工作实际，制定本规定。</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第二条　党组（包含党组性质党委，下同）应当认真履行全面从严治党主体责任，纪委监委派驻纪检监察组应当认真履行监督责任。坚持党要管党、全面从严治党，坚持党纪面前一律平等，坚持实事求是，坚持惩前毖后、治病救人，强化监督执纪问责，确保案件处理取得良好政治效果、纪法效果和社会效果，确保案件质量经得起历史和人民的检验。</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第三条　党组对其管理的党员干部实施党纪处分，应当按照规定程序经党组集体讨论决定，不允许任何个人或者少数人擅自决定和批准。党纪处分决定以党组名义作出并自党组讨论决定之日起生效。</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第四条　中央纪委国家监委派驻纪检监察组（以下简称派驻纪检监察组）按照干部管理权限，对驻在部门（含综合</w:t>
      </w:r>
      <w:r w:rsidRPr="00DF68A3">
        <w:rPr>
          <w:rFonts w:ascii="仿宋_GB2312" w:eastAsia="仿宋_GB2312" w:hint="eastAsia"/>
          <w:color w:val="000000"/>
          <w:sz w:val="32"/>
          <w:szCs w:val="32"/>
        </w:rPr>
        <w:lastRenderedPageBreak/>
        <w:t>监督单位，下同）党组管理的司局级党员干部涉嫌违纪问题进行立案审查和内部审理，经派驻纪检监察组集体研究，提出党纪处分初步建议，与驻在部门党组沟通并取得一致意见后，将案件移送中央和国家机关纪检监察工委（以下简称纪检监察工委）进行审理。</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纪检监察工委对移送的案件应当认真履行审核把关和监督制约职能，形成审理报告并反馈派驻纪检监察组，做到事实清楚、证据确凿、定性准确、处理恰当、手续完备、程序合规。</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纪检监察工委在审理过程中，应当加强与派驻纪检监察组沟通。派驻纪检监察组原则上应当尊重纪检监察工委的审理意见。如出现分歧，经沟通不能形成一致意见的，由纪检监察工委将双方意见报中央纪委研究决定。</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派驻纪检监察组应当加强与有关方面沟通，特别是对驻在部门党组管理的正司局级党员领导干部违纪案件，在驻在部门党组会议召开前，应当与驻在部门党组和中央纪委充分交换意见。</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第五条　经纪检监察工委审理后，派驻纪检监察组将党纪处分建议通报驻在部门党组，由党组讨论决定，党纪处分建议与党组的意见不同又不能协商一致的，由中央纪委研究决定。党纪处分决定应当正式通报派驻纪检监察组。</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第六条　给予驻在部门的处级及以下党员干部党纪处分，由部门机关党委、机关纪委进行审查和审理，并依据《中国共产党章程》第四十二条规定履行相应程序后，由党组讨</w:t>
      </w:r>
      <w:r w:rsidRPr="00DF68A3">
        <w:rPr>
          <w:rFonts w:ascii="仿宋_GB2312" w:eastAsia="仿宋_GB2312" w:hint="eastAsia"/>
          <w:color w:val="000000"/>
          <w:sz w:val="32"/>
          <w:szCs w:val="32"/>
        </w:rPr>
        <w:lastRenderedPageBreak/>
        <w:t>论决定。在作出党纪处分决定前，应当征求派驻纪检监察组意见。</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根据工作需要，派驻纪检监察组可以直接审查驻在部门的处级及以下党员干部违反党纪的案件。派驻纪检监察组进行审查和审理后，提出党纪处分建议，移交驻在部门机关党委、机关纪委按照规定履行相应程序后，由党组讨论决定。必要时，派驻纪检监察组可以将党纪处分建议直接通报驻在部门党组，由党组讨论决定。</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第七条　给予驻在部门党组管理的司局级党员干部党纪处分、给予处级党员干部撤销党内职务及以上党纪处分的，由驻在部门机关纪委在党纪处分决定生效之日起30日内，将党纪处分决定及相关材料报纪检监察工委备案。纪检监察工委对备案材料应当认真审核，发现问题及时反馈并督促解决。</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纪检监察工委应当每季度向中央纪委、中央和国家机关工委报送备案监督情况专项报告，必要时可以随时报告。</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给予向中央备案的党员干部党纪处分的，驻在部门党组应当按照规定将党纪处分决定通报中央组织部。</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第八条　对于党的组织关系在地方、干部管理权限在主管部门党组的党员干部违纪案件，凡由派驻纪检监察组查处的，由主管部门党组讨论决定，并向地方党组织通报处理结果。</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对于地方纪委首先发现并立案审查，接受上级纪委指定或者与派驻纪检监察组协商后由地方纪委立案审查的上述</w:t>
      </w:r>
      <w:r w:rsidRPr="00DF68A3">
        <w:rPr>
          <w:rFonts w:ascii="仿宋_GB2312" w:eastAsia="仿宋_GB2312" w:hint="eastAsia"/>
          <w:color w:val="000000"/>
          <w:sz w:val="32"/>
          <w:szCs w:val="32"/>
        </w:rPr>
        <w:lastRenderedPageBreak/>
        <w:t>案件，应当由地方纪委按照程序作出党纪处分决定，并向主管部门党组通报处理结果。在作出立案审查决定及审查处理过程中，地方纪委应当与主管部门党组和派驻纪检监察组加强沟通协调；经沟通不能形成一致意见的，报共同的上级党委或者纪委研究决定。</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第九条　纪检监察工委在中央纪委领导下建立健全对中央和国家机关审查处理违纪案件的质量评查机制，对党组讨论决定、派驻纪检监察组审查处理的案件事实证据、性质认定、处分档次、程序手续等进行监督检查，采取通报、约谈等方式反馈评查结果。</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第十条　党的工作机关、直属事业单位领导机构讨论和决定党员处分事项，参照本规定执行。</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派驻纪检监察组给予驻在部门党组管理的干部政务处分，参照本规定办理，并以派驻纪检监察组名义作出政务处分决定，或者交由其任免机关、单位给予处分。</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第十一条　各省、自治区、直辖市党委和纪检监察工委可以根据本规定精神，结合实际情况制定实施细则。</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第十二条　本规定由中央纪委负责解释。</w:t>
      </w:r>
    </w:p>
    <w:p w:rsidR="00DF68A3" w:rsidRPr="00DF68A3" w:rsidRDefault="00DF68A3" w:rsidP="00DF68A3">
      <w:pPr>
        <w:pStyle w:val="a5"/>
        <w:shd w:val="clear" w:color="auto" w:fill="FFFFFF"/>
        <w:spacing w:before="0" w:beforeAutospacing="0" w:after="0" w:afterAutospacing="0" w:line="560" w:lineRule="exact"/>
        <w:rPr>
          <w:rFonts w:ascii="仿宋_GB2312" w:eastAsia="仿宋_GB2312" w:hint="eastAsia"/>
          <w:color w:val="000000"/>
          <w:sz w:val="32"/>
          <w:szCs w:val="32"/>
        </w:rPr>
      </w:pPr>
      <w:r w:rsidRPr="00DF68A3">
        <w:rPr>
          <w:rFonts w:ascii="仿宋_GB2312" w:eastAsia="仿宋_GB2312" w:hint="eastAsia"/>
          <w:color w:val="000000"/>
          <w:sz w:val="32"/>
          <w:szCs w:val="32"/>
        </w:rPr>
        <w:t xml:space="preserve">　　第十三条　本规定自2019年1月1日起施行。此前发布的有关规定与本规定不一致的，按照本规定执行。</w:t>
      </w:r>
    </w:p>
    <w:p w:rsidR="002033F7" w:rsidRPr="00DF68A3" w:rsidRDefault="002033F7" w:rsidP="00DF68A3">
      <w:pPr>
        <w:spacing w:line="560" w:lineRule="exact"/>
        <w:rPr>
          <w:rFonts w:ascii="仿宋_GB2312" w:eastAsia="仿宋_GB2312" w:hint="eastAsia"/>
          <w:sz w:val="32"/>
          <w:szCs w:val="32"/>
        </w:rPr>
      </w:pPr>
    </w:p>
    <w:sectPr w:rsidR="002033F7" w:rsidRPr="00DF68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10" w:rsidRDefault="00E27D10" w:rsidP="00DF68A3">
      <w:r>
        <w:separator/>
      </w:r>
    </w:p>
  </w:endnote>
  <w:endnote w:type="continuationSeparator" w:id="0">
    <w:p w:rsidR="00E27D10" w:rsidRDefault="00E27D10" w:rsidP="00DF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10" w:rsidRDefault="00E27D10" w:rsidP="00DF68A3">
      <w:r>
        <w:separator/>
      </w:r>
    </w:p>
  </w:footnote>
  <w:footnote w:type="continuationSeparator" w:id="0">
    <w:p w:rsidR="00E27D10" w:rsidRDefault="00E27D10" w:rsidP="00DF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F7"/>
    <w:rsid w:val="00003BE3"/>
    <w:rsid w:val="00006473"/>
    <w:rsid w:val="000703F7"/>
    <w:rsid w:val="00075D3A"/>
    <w:rsid w:val="0008529F"/>
    <w:rsid w:val="000B0385"/>
    <w:rsid w:val="000C37C2"/>
    <w:rsid w:val="000C60B4"/>
    <w:rsid w:val="000D6E80"/>
    <w:rsid w:val="000D7169"/>
    <w:rsid w:val="000E32DD"/>
    <w:rsid w:val="00114848"/>
    <w:rsid w:val="00150335"/>
    <w:rsid w:val="001653CF"/>
    <w:rsid w:val="001A3506"/>
    <w:rsid w:val="001B1D30"/>
    <w:rsid w:val="002033F7"/>
    <w:rsid w:val="002466EF"/>
    <w:rsid w:val="00297D73"/>
    <w:rsid w:val="002F236F"/>
    <w:rsid w:val="00321224"/>
    <w:rsid w:val="003316B6"/>
    <w:rsid w:val="003D12AF"/>
    <w:rsid w:val="003D6FBE"/>
    <w:rsid w:val="00481F6A"/>
    <w:rsid w:val="00497E29"/>
    <w:rsid w:val="004C1A43"/>
    <w:rsid w:val="004F4EFA"/>
    <w:rsid w:val="005700AC"/>
    <w:rsid w:val="005E34C7"/>
    <w:rsid w:val="00610DA6"/>
    <w:rsid w:val="0066361B"/>
    <w:rsid w:val="006D37D6"/>
    <w:rsid w:val="00703FF2"/>
    <w:rsid w:val="00740C95"/>
    <w:rsid w:val="007A2768"/>
    <w:rsid w:val="007A33BA"/>
    <w:rsid w:val="007C3820"/>
    <w:rsid w:val="00822515"/>
    <w:rsid w:val="00840D26"/>
    <w:rsid w:val="0088011E"/>
    <w:rsid w:val="008C0A1D"/>
    <w:rsid w:val="008D4B7A"/>
    <w:rsid w:val="009068ED"/>
    <w:rsid w:val="0099589A"/>
    <w:rsid w:val="00997870"/>
    <w:rsid w:val="009F25BB"/>
    <w:rsid w:val="00A169C1"/>
    <w:rsid w:val="00AA267E"/>
    <w:rsid w:val="00AB069C"/>
    <w:rsid w:val="00AD1D13"/>
    <w:rsid w:val="00B64F46"/>
    <w:rsid w:val="00B96687"/>
    <w:rsid w:val="00BC6273"/>
    <w:rsid w:val="00BD0C41"/>
    <w:rsid w:val="00BE059B"/>
    <w:rsid w:val="00BF5AE1"/>
    <w:rsid w:val="00C12217"/>
    <w:rsid w:val="00C272FA"/>
    <w:rsid w:val="00C4796F"/>
    <w:rsid w:val="00C50D7E"/>
    <w:rsid w:val="00C538DD"/>
    <w:rsid w:val="00CA2EFF"/>
    <w:rsid w:val="00CB41BC"/>
    <w:rsid w:val="00DC7A45"/>
    <w:rsid w:val="00DF68A3"/>
    <w:rsid w:val="00E15E0D"/>
    <w:rsid w:val="00E23E4F"/>
    <w:rsid w:val="00E27D10"/>
    <w:rsid w:val="00EB2196"/>
    <w:rsid w:val="00EC56D4"/>
    <w:rsid w:val="00ED0003"/>
    <w:rsid w:val="00ED2D20"/>
    <w:rsid w:val="00F053D2"/>
    <w:rsid w:val="00F357C2"/>
    <w:rsid w:val="00FC43DD"/>
    <w:rsid w:val="00FE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8A3"/>
    <w:rPr>
      <w:sz w:val="18"/>
      <w:szCs w:val="18"/>
    </w:rPr>
  </w:style>
  <w:style w:type="paragraph" w:styleId="a4">
    <w:name w:val="footer"/>
    <w:basedOn w:val="a"/>
    <w:link w:val="Char0"/>
    <w:uiPriority w:val="99"/>
    <w:unhideWhenUsed/>
    <w:rsid w:val="00DF68A3"/>
    <w:pPr>
      <w:tabs>
        <w:tab w:val="center" w:pos="4153"/>
        <w:tab w:val="right" w:pos="8306"/>
      </w:tabs>
      <w:snapToGrid w:val="0"/>
      <w:jc w:val="left"/>
    </w:pPr>
    <w:rPr>
      <w:sz w:val="18"/>
      <w:szCs w:val="18"/>
    </w:rPr>
  </w:style>
  <w:style w:type="character" w:customStyle="1" w:styleId="Char0">
    <w:name w:val="页脚 Char"/>
    <w:basedOn w:val="a0"/>
    <w:link w:val="a4"/>
    <w:uiPriority w:val="99"/>
    <w:rsid w:val="00DF68A3"/>
    <w:rPr>
      <w:sz w:val="18"/>
      <w:szCs w:val="18"/>
    </w:rPr>
  </w:style>
  <w:style w:type="paragraph" w:styleId="a5">
    <w:name w:val="Normal (Web)"/>
    <w:basedOn w:val="a"/>
    <w:uiPriority w:val="99"/>
    <w:semiHidden/>
    <w:unhideWhenUsed/>
    <w:rsid w:val="00DF68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8A3"/>
    <w:rPr>
      <w:sz w:val="18"/>
      <w:szCs w:val="18"/>
    </w:rPr>
  </w:style>
  <w:style w:type="paragraph" w:styleId="a4">
    <w:name w:val="footer"/>
    <w:basedOn w:val="a"/>
    <w:link w:val="Char0"/>
    <w:uiPriority w:val="99"/>
    <w:unhideWhenUsed/>
    <w:rsid w:val="00DF68A3"/>
    <w:pPr>
      <w:tabs>
        <w:tab w:val="center" w:pos="4153"/>
        <w:tab w:val="right" w:pos="8306"/>
      </w:tabs>
      <w:snapToGrid w:val="0"/>
      <w:jc w:val="left"/>
    </w:pPr>
    <w:rPr>
      <w:sz w:val="18"/>
      <w:szCs w:val="18"/>
    </w:rPr>
  </w:style>
  <w:style w:type="character" w:customStyle="1" w:styleId="Char0">
    <w:name w:val="页脚 Char"/>
    <w:basedOn w:val="a0"/>
    <w:link w:val="a4"/>
    <w:uiPriority w:val="99"/>
    <w:rsid w:val="00DF68A3"/>
    <w:rPr>
      <w:sz w:val="18"/>
      <w:szCs w:val="18"/>
    </w:rPr>
  </w:style>
  <w:style w:type="paragraph" w:styleId="a5">
    <w:name w:val="Normal (Web)"/>
    <w:basedOn w:val="a"/>
    <w:uiPriority w:val="99"/>
    <w:semiHidden/>
    <w:unhideWhenUsed/>
    <w:rsid w:val="00DF68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70040">
      <w:bodyDiv w:val="1"/>
      <w:marLeft w:val="0"/>
      <w:marRight w:val="0"/>
      <w:marTop w:val="0"/>
      <w:marBottom w:val="0"/>
      <w:divBdr>
        <w:top w:val="none" w:sz="0" w:space="0" w:color="auto"/>
        <w:left w:val="none" w:sz="0" w:space="0" w:color="auto"/>
        <w:bottom w:val="none" w:sz="0" w:space="0" w:color="auto"/>
        <w:right w:val="none" w:sz="0" w:space="0" w:color="auto"/>
      </w:divBdr>
      <w:divsChild>
        <w:div w:id="1452162472">
          <w:marLeft w:val="0"/>
          <w:marRight w:val="0"/>
          <w:marTop w:val="0"/>
          <w:marBottom w:val="0"/>
          <w:divBdr>
            <w:top w:val="none" w:sz="0" w:space="0" w:color="auto"/>
            <w:left w:val="none" w:sz="0" w:space="0" w:color="auto"/>
            <w:bottom w:val="none" w:sz="0" w:space="0" w:color="auto"/>
            <w:right w:val="none" w:sz="0" w:space="0" w:color="auto"/>
          </w:divBdr>
          <w:divsChild>
            <w:div w:id="17377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1762</Characters>
  <Application>Microsoft Office Word</Application>
  <DocSecurity>0</DocSecurity>
  <Lines>14</Lines>
  <Paragraphs>4</Paragraphs>
  <ScaleCrop>false</ScaleCrop>
  <Company>Microsoft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2020-06-01T08:32:00Z</dcterms:created>
  <dcterms:modified xsi:type="dcterms:W3CDTF">2020-06-01T08:33:00Z</dcterms:modified>
</cp:coreProperties>
</file>